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center"/>
        <w:tblBorders>
          <w:top w:color="000000" w:space="0" w:sz="12" w:val="single"/>
          <w:left w:color="000000" w:space="0" w:sz="4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1732"/>
        <w:tblGridChange w:id="0">
          <w:tblGrid>
            <w:gridCol w:w="6912"/>
            <w:gridCol w:w="1732"/>
          </w:tblGrid>
        </w:tblGridChange>
      </w:tblGrid>
      <w:tr>
        <w:trPr>
          <w:trHeight w:val="600" w:hRule="atLeast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CONSELHO CIENTÍFICO-PEDAGÓGICO DA FORMAÇÃO CONTÍNUA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APRESENTAÇÃO DE AÇÃO DE FORMAÇÃO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Curso de 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subscript"/>
                <w:rtl w:val="0"/>
              </w:rPr>
              <w:t xml:space="preserve">2-A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N.º CCPFC/ACC-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1. DESIGNAÇÃO DA AÇÃO DE FORMAÇÃO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Avaliar na aula de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Filosofia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2. RAZÕES JUSTIFICATIVAS DA AÇÃO E SUA INSERÇÃO NO PLANO DE ATIVIDADES DA ENTIDADE PROPONENTE: PROBLEMAS/NECESSIDADES DE FORMAÇÃO IDENTIFICADOS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Avaliar as aprendizagens é uma tarefa inerente à atividade docente. É, de resto, um dos aspetos que mais impacto tem não apenas no percurso académico dos alunos como no próprio processo de aprendizagem. Contudo, o impacto da avaliação depende crucialmente da adequação dos instrumentos de avaliação ao que se pretende avaliar. Assim, instrumentos de avaliação mal concebidos resultam em informação errada e levam a decisões didático-pedagógicas inadequadas, ao passo que instrumentos de avaliação válidos e fiáveis fornecem a informação relevante e necessária para a melhoria e eficácia dos processos ensino e de aprendizagem. Dado que a formação em avaliação — e em particular a formação em avaliação na disciplina de Filosofia, com a sua especificidade — é bastante menos frequente do que seria necessário, a presente ação de formação visa contribuir para satisfazer tal necessidade.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3. DESTINATÁRIOS DA 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Professores do ensino secundário do grupo 410 (Filosofia).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Formação creditada para efeitos da progressão na carreira docente no âmbito da formação específica da componente científica.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4. EFEITOS A PRODUZIR/OBJETIVOS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922"/>
              </w:tabs>
              <w:spacing w:after="0" w:lineRule="auto"/>
              <w:ind w:right="283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Refletir sobre a relação entre a avaliação e a aprendizagem, tendo por enquadramento a Autonomia e a Flexibilidade Curricular, e os seus instrumentos estruturantes, em particular o Perfil dos alunos à saída da escolaridade obrigatória e o DL 55/2018 de 6 de julho.</w:t>
            </w:r>
          </w:p>
          <w:p w:rsidR="00000000" w:rsidDel="00000000" w:rsidP="00000000" w:rsidRDefault="00000000" w:rsidRPr="00000000" w14:paraId="00000017">
            <w:pPr>
              <w:tabs>
                <w:tab w:val="left" w:pos="922"/>
              </w:tabs>
              <w:spacing w:after="0" w:lineRule="auto"/>
              <w:ind w:right="283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Diferenciar diferentes tipos e instrumentos de avaliação.</w:t>
            </w:r>
          </w:p>
          <w:p w:rsidR="00000000" w:rsidDel="00000000" w:rsidP="00000000" w:rsidRDefault="00000000" w:rsidRPr="00000000" w14:paraId="00000018">
            <w:pPr>
              <w:tabs>
                <w:tab w:val="left" w:pos="922"/>
              </w:tabs>
              <w:spacing w:after="0" w:lineRule="auto"/>
              <w:ind w:right="283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Criar atividades e  instrumentos de avaliação alinhados com as atividades e os processos de aprendizagem.</w:t>
            </w:r>
          </w:p>
          <w:p w:rsidR="00000000" w:rsidDel="00000000" w:rsidP="00000000" w:rsidRDefault="00000000" w:rsidRPr="00000000" w14:paraId="00000019">
            <w:pPr>
              <w:tabs>
                <w:tab w:val="left" w:pos="922"/>
              </w:tabs>
              <w:spacing w:after="0" w:lineRule="auto"/>
              <w:ind w:right="283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Elaborar descritores de desempenho e critérios de classificação alinhados com os diferentes processos e atividades de aprendizagem e com diferentes metodologias e instrumentos de avaliação.</w:t>
            </w:r>
          </w:p>
          <w:p w:rsidR="00000000" w:rsidDel="00000000" w:rsidP="00000000" w:rsidRDefault="00000000" w:rsidRPr="00000000" w14:paraId="0000001A">
            <w:pPr>
              <w:tabs>
                <w:tab w:val="left" w:pos="922"/>
              </w:tabs>
              <w:spacing w:after="0" w:lineRule="auto"/>
              <w:ind w:right="283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Usar as vantagens da utilização de aplicações digitais para promover a avaliação formativa e incorporar feedback nas atividades de aprendizagem.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5. CONTEÚDOS DA AÇÃO – 25 horas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1. Apresentação, organização e planeamento da ação (1h síncrona)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Objetivos a alcançar e conteúdos a tratar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Metodologia adotada: organização do trabalho a desenvolver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Ambientação no uso das plataformas para sessões e trabalho síncrono e assíncrono à distância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Recursos: documentação de apoio e textos de referência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Produtos finais a elaborar e avaliação da formação e dos formandos.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Secção A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 síncronas + 2 assíncronas)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AVALIAÇÃO NO CONTEXTO DA FLEXIBILIDADE CURRICULAR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Avaliação.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Avaliação formativa, feedback e avaliação sumativa.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—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Descritores de avaliação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, instrumentos de avaliação e alinhamento da avaliação com as atividades de aprendizagem.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Secção B (5 síncronas + 3 assíncronas)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CONCEÇÃO DE TESTES:  A matriz dos testes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Conhecimentos, capacidades e operações mentais solicitadas;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Dimensão do teste;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Distribuição de cotações.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CONSTRUÇÃO DE TESTES: A validade dos testes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O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bjetivo,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ipologia e formulaç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ão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de itens;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D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stribuição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níveis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de dificuldade dos iten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U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so de suportes (textos, imagens, etc.)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APLICAÇÃO E CLASSIFICAÇÃO DE TESTES: A fiabilidade dos testes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O que se deve evitar durante a realização de testes;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Resposta esperada e critérios de classificação;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— Níveis de desempenho e descritores de desempenho.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Secção C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 síncronas + 3 assíncronas)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AVALIAÇÃO COM APLICAÇÕES DIGITAIS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Modelos de avaliação digital 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Ferramentas digitais de avaliação: (Learning Management Systems, wikis e trabalhos colaborativos, jogos, e-portefólios, avaliação por pares, feedback automático.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ind w:right="28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ESTRATÉGIAS E FERRAMENTAS DIGITAIS EM FILOSOFIA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ind w:right="28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Atividades de: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Conceptualização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Problematização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ind w:left="0" w:right="28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— Argumentação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ind w:right="28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ind w:right="28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Produção, pelos formandos, de atividades e instrumentos de avaliação alinhados com as atividades de aprendizagem (com apresentação e discussão).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6. METODOLOGIA DE REALIZAÇÃO DA 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 sessões terão componentes teórica, teórico-prática e prática.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Os conteúdos teóricos e teórico-práticos serão explorados e discutidos nas sessões síncronas, a realizar na plataforma Zoom. Serão apresentados, analisados e discutidos exemplos, apresentados pelos formadores e já testados em prática de aula.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componente prática, a realizar pelos formandos no trabalho síncrono e  assíncrono / autónomo nas Secções A, B e C, consiste na elaboração de descritores de avaliação e planificação e concepção de  instrumentos de avaliação (incluindo, quando pertinente, com o recurso a tecnologias digitais,, alinhados com as atividades de aula, e serão apresentados e discutidos nas sessões síncronas.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7. Regime de avaliação dos formandos máximo 1000 caracteres</w:t>
            </w:r>
          </w:p>
          <w:p w:rsidR="00000000" w:rsidDel="00000000" w:rsidP="00000000" w:rsidRDefault="00000000" w:rsidRPr="00000000" w14:paraId="000000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Instrumentos de avaliação dos formandos e respetiva ponderação:</w:t>
            </w:r>
          </w:p>
          <w:p w:rsidR="00000000" w:rsidDel="00000000" w:rsidP="00000000" w:rsidRDefault="00000000" w:rsidRPr="00000000" w14:paraId="000000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participação nas sessões presenciais e assíncronas (intervenção oral e trabalho teórico-prático realizado) – 50%</w:t>
            </w:r>
          </w:p>
          <w:p w:rsidR="00000000" w:rsidDel="00000000" w:rsidP="00000000" w:rsidRDefault="00000000" w:rsidRPr="00000000" w14:paraId="0000004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planificação e produção individual de recursos didáticos, com o respetivo relatório final de reflexão crítica sobre o impacto na prática docente (50%).</w:t>
            </w:r>
          </w:p>
          <w:p w:rsidR="00000000" w:rsidDel="00000000" w:rsidP="00000000" w:rsidRDefault="00000000" w:rsidRPr="00000000" w14:paraId="000000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 acordo com os critérios previamente estabelecidos, conforme indicado na Carta Circular CCPFC – 3/2007 – Setembro 2007, os formandos serão avaliados com a menção qualitativa de:</w:t>
            </w:r>
          </w:p>
          <w:p w:rsidR="00000000" w:rsidDel="00000000" w:rsidP="00000000" w:rsidRDefault="00000000" w:rsidRPr="00000000" w14:paraId="00000051">
            <w:pPr>
              <w:tabs>
                <w:tab w:val="left" w:pos="284"/>
              </w:tabs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- 1 a 4,9  valores – Insuficiente;</w:t>
            </w:r>
          </w:p>
          <w:p w:rsidR="00000000" w:rsidDel="00000000" w:rsidP="00000000" w:rsidRDefault="00000000" w:rsidRPr="00000000" w14:paraId="00000052">
            <w:pPr>
              <w:tabs>
                <w:tab w:val="left" w:pos="284"/>
              </w:tabs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- 5 a 6,4 valores – Regular;</w:t>
            </w:r>
          </w:p>
          <w:p w:rsidR="00000000" w:rsidDel="00000000" w:rsidP="00000000" w:rsidRDefault="00000000" w:rsidRPr="00000000" w14:paraId="00000053">
            <w:pPr>
              <w:tabs>
                <w:tab w:val="left" w:pos="284"/>
              </w:tabs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- 6,5 a 7,9 valores – Bom;</w:t>
            </w:r>
          </w:p>
          <w:p w:rsidR="00000000" w:rsidDel="00000000" w:rsidP="00000000" w:rsidRDefault="00000000" w:rsidRPr="00000000" w14:paraId="00000054">
            <w:pPr>
              <w:tabs>
                <w:tab w:val="left" w:pos="284"/>
              </w:tabs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- 8 a 8,9 valores – Muito Bom;</w:t>
            </w:r>
          </w:p>
          <w:p w:rsidR="00000000" w:rsidDel="00000000" w:rsidP="00000000" w:rsidRDefault="00000000" w:rsidRPr="00000000" w14:paraId="0000005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- 9 a 10 valores -  Excelente.</w:t>
            </w:r>
          </w:p>
          <w:p w:rsidR="00000000" w:rsidDel="00000000" w:rsidP="00000000" w:rsidRDefault="00000000" w:rsidRPr="00000000" w14:paraId="000000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ação será avaliada: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a) pelos formandos: resposta a um inquérito elaborado para o efeito;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b) pelo formador: resposta a um inquérito elaborado para o efeito;</w:t>
            </w:r>
          </w:p>
          <w:p w:rsidR="00000000" w:rsidDel="00000000" w:rsidP="00000000" w:rsidRDefault="00000000" w:rsidRPr="00000000" w14:paraId="000000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c) pelo Centro de Formação: elaboração de um relatório global de avaliação com base nos instrumentos avaliativos utilizados por formandos e formador.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highlight w:val="gree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0"/>
                <w:szCs w:val="20"/>
                <w:shd w:fill="f3f3f3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shd w:fill="f3f3f3" w:val="clear"/>
                <w:vertAlign w:val="baseline"/>
                <w:rtl w:val="0"/>
              </w:rPr>
              <w:t xml:space="preserve">9. LISTA DE REFERÊNCIAS BIBLIOGRÁFICAS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01.09090284867716" w:lineRule="auto"/>
              <w:ind w:left="42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Almeida, A. e Costa, A. P., (2002),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Avaliação das Aprendizagens em Filosofia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https://www.slideshare.net/apaucos/avaliacao-aprendizagens-filosofia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01.09090284867716" w:lineRule="auto"/>
              <w:ind w:left="42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Brandão, I. (2015). Modelos de avaliação digital. In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Avaliação e Tecnologias no Ensino Superior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 Lisboa: Universidade Aberta, CEAUL, ULICES, LE@D. In 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http://lead.uab.pt/?p=342</w:t>
            </w:r>
          </w:p>
          <w:p w:rsidR="00000000" w:rsidDel="00000000" w:rsidP="00000000" w:rsidRDefault="00000000" w:rsidRPr="00000000" w14:paraId="00000062">
            <w:pPr>
              <w:spacing w:line="301.09090284867716" w:lineRule="auto"/>
              <w:ind w:left="42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Miller, M, Linn, R. e Gronlund, N. (2009),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Measurement and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ssessment in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eaching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. New York: Pearson Education.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Sá, C. M. (2019).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Flexibilidade curricular e perfil do aluno para o século XXI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 Aveiro: Universidade de Aveiro.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